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44DAF" w14:textId="33602650" w:rsidR="00A55E5F" w:rsidRPr="00FE3707" w:rsidRDefault="00850858" w:rsidP="00FE3707">
      <w:pPr>
        <w:pStyle w:val="BodyText"/>
      </w:pPr>
      <w:bookmarkStart w:id="0" w:name="_GoBack"/>
      <w:r w:rsidRPr="00FE3707">
        <w:t xml:space="preserve">The following section provides references for the supervised machine learning algorithms available in Driverless AI. </w:t>
      </w:r>
      <w:bookmarkEnd w:id="0"/>
    </w:p>
    <w:sectPr w:rsidR="00A55E5F" w:rsidRPr="00FE3707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58"/>
    <w:rsid w:val="00850858"/>
    <w:rsid w:val="00A47277"/>
    <w:rsid w:val="00A55E5F"/>
    <w:rsid w:val="00FE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64C5A"/>
  <w15:chartTrackingRefBased/>
  <w15:docId w15:val="{DF27BC37-0C4B-2D48-B83D-842E55BE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E3707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E3707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2019-11-24T21:30:00Z</dcterms:created>
  <dcterms:modified xsi:type="dcterms:W3CDTF">2019-12-04T04:57:00Z</dcterms:modified>
</cp:coreProperties>
</file>